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4C049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0D47B9F" wp14:editId="4297435A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F1807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2ADA4E2B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13F581B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C7D345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3F2EE59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4F0EE1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FABCEF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1EF6B4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52A46EB" w14:textId="3DCEDC5C"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K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>atalitički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8D994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36E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DEA45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739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AA1B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F2DC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F10AB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E3F21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C3E8F4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70CCB6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CB530F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AC3EE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9F5F7D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73E44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AD061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73BFF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3B537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A31FF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11EE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0840A1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4C30C3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5C21C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2BACA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2F6AD8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C6BA32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86000B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E34DBCB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5A4134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284DD92" w14:textId="77777777"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DBC84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E0C5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60981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A7F2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1AE6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0623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C90EC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C106C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09F3E8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82DDE9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0F88E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22D8B1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83D8477" w14:textId="12E181D8" w:rsidR="00CB72ED" w:rsidRPr="00B96B4F" w:rsidRDefault="00D05D23" w:rsidP="00E200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BF17D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E0488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EEF84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5AE24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4AF12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B6CCE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831E8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101EF3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70162D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B3AFC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AAABA1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F0884B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7242CC2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79FA102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3A9726C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269776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7CF89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D86F4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D68B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0C99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C633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54310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8CEED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5A9AA6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59B1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E9B3F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375D2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8FBEB12" w14:textId="77777777"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4BCF0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A13A5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EB1D1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0F8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148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E4C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1E821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07C89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52D3F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9A1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40428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A66367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AE014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4431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C3623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F972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BC8F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DFC1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A077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17D0A4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182AB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D03450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04DA76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500C1C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916C3AA" w14:textId="77777777"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5D187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380608E" w14:textId="77777777"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472AE6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DC7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1C0D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0378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C67DB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7686B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BF36B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09467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E99BB0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AA9B1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509D8B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E049B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81A0B" w14:textId="43E8895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40346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3A8BCC8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1F0D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6F06E5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C61FCD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BBEE2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1E7233C1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5CBB93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38DAA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CC964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528B5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C478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D5199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B4E31C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E38295D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79BBD" w14:textId="76C551A5"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4034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3EA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88C3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57715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5121D" w14:textId="0ACFE231"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38F3BD6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9799DB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19A32D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2420C2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17C614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51648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62F054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308DCD3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9B7126E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AEE42" w14:textId="194F9A79"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4034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A354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72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FE19A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280A" w14:textId="125E3BDB"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C2C7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FC2C7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15398BF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60C78A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77D44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BBFBE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5F7E8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2A359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FBCB3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4DB5C6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BBC6943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F0EF2" w14:textId="77777777"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8D51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9919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D2791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D16AB" w14:textId="021AE26D"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FC2C75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E93AD9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FC2C75">
              <w:rPr>
                <w:rFonts w:asciiTheme="majorHAnsi" w:hAnsiTheme="majorHAnsi" w:cs="Arial"/>
                <w:b/>
                <w:sz w:val="18"/>
                <w:szCs w:val="18"/>
              </w:rPr>
              <w:t>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B3C4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E7419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70823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3D78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74FA0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D67E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3B6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2C516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90C0B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3EE0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C878D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F3AE74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0AC65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D0EA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3C80A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C5507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50A4C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264A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F4D1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A11A9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6769D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5366F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AFAB8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8861A67" w14:textId="3A29BD53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Hemija okoline i kontrole kvaliteta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E0AE6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53FF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A8970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B3A9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7312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18F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EF32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B13BE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68E662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F0BDE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9D20F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754CF30" w14:textId="619F7240"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9FF53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070E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7B22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7DD6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79C6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BC90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2F950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E771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9025E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0A51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74A5A6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EBDB57" w14:textId="77777777" w:rsidR="00CB72ED" w:rsidRPr="00B96B4F" w:rsidRDefault="00D05D23" w:rsidP="008C12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predmeta je upoznati studente s osnovnim principima katalize, uključujući homogenu i heterogenu katalizu, te kinetiku i mehanizme katalitičkih reakcija. Studenti će steći znanja o sastavu, pripremi i karakteristikama katalizatora, kao i o njihovoj aktivnosti, selektivnosti i stabilnosti. Također, cilj je razviti razumijevanje prijenosa tvari i topline u </w:t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katalitičkim procesima, eksperimentalnih metoda istraživanja te mehanizama deaktivacije i mogućnosti reaktivacije katalizatora.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B4EA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7A9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C89CB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4FF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FB98E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C95BB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749E3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1BD6A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92C9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3681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98A69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A057CFD" w14:textId="77777777" w:rsidR="00CB72ED" w:rsidRPr="00B96B4F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Po završetku predmeta studenti će moći objasniti osnovne principe homogene i heterogene katalize te kinetiku i mehanizme katalitičkih reakcija. Studenti će biti sposobni analizirati svojstva katalizatora, uključujući aktivnost, selektivnost, stabilnost te fizikalne i mehaničke karakteristike. Također će moći primijeniti eksperimentalne metode za određivanje karakteristika katalizatora te procijeniti uticaj prijenosa tvari, topline i procesa deaktivacije na katalitičke procese.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0FA813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3CB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6F54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F4B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BE4C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797CE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5CB3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F09977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3D070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4494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E501D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E0423B9" w14:textId="77777777" w:rsidR="00526ED4" w:rsidRPr="00526ED4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1. Uvod. Podjela katalize: Homogena kiselinsko-bazna, kataliza s metalnim ionima.</w:t>
            </w:r>
          </w:p>
          <w:p w14:paraId="4FDB16DF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2. Kinetika i mehanizam homogeno-katalitičkih reakcija.</w:t>
            </w:r>
          </w:p>
          <w:p w14:paraId="2309385D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3. Heterogena kataliza.Fizikalna adsorpcija i hemisorpcija.</w:t>
            </w:r>
          </w:p>
          <w:p w14:paraId="33C408F9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4. Sastav i priprema katalizatora.</w:t>
            </w:r>
          </w:p>
          <w:p w14:paraId="02991359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5. Aktivnost, selektivnost i stabilnost katalizatora.</w:t>
            </w:r>
          </w:p>
          <w:p w14:paraId="4587FD78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6. Fizičke karakteristike katalizatora. Mehaničke karakteristike katalizatora. Priprema heterogenih katalizato</w:t>
            </w:r>
          </w:p>
          <w:p w14:paraId="0D13D105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7. Eksperimentalne metode određivanja karakteristika.</w:t>
            </w:r>
          </w:p>
          <w:p w14:paraId="4C4670ED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8. Kinetika i mehanizam heterogeno-katalitičkih reakcija: empirijski i mehanistički modeli.</w:t>
            </w:r>
          </w:p>
          <w:p w14:paraId="45671235" w14:textId="77777777" w:rsidR="00526ED4" w:rsidRPr="00526ED4" w:rsidRDefault="008C120C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. Ukupna brzina heterogeno-katalitičkih reakcija. Prijenos tvari i topline u katalitičkim reaktorima.</w:t>
            </w:r>
          </w:p>
          <w:p w14:paraId="1E325A7D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Karakteristika djelotvornosti: međufazna, unutarfazna. Eksperimentalne metode i kriteriji u kinetičkim</w:t>
            </w:r>
          </w:p>
          <w:p w14:paraId="0CC64215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istraživanjima.</w:t>
            </w:r>
          </w:p>
          <w:p w14:paraId="2CE1DCD9" w14:textId="77777777"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Deaktivacija katalizatora. Kinetika i mehanizam deaktivacije. Difuzija i deaktivacija.</w:t>
            </w:r>
          </w:p>
          <w:p w14:paraId="6FE233AA" w14:textId="77777777" w:rsidR="00CB72ED" w:rsidRPr="00B96B4F" w:rsidRDefault="00526ED4" w:rsidP="008C12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Selektivnost i deaktivacija. Sprečavanje deaktivacije i reaktivacija katalizatora.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B2257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852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731C2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029C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437A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DB5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6BAE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36FBE5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71392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AA5AF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1064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0E70ECA" w14:textId="77777777" w:rsidR="00D33AAD" w:rsidRPr="00D33AAD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14:paraId="4B2F31C6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vježbe</w:t>
            </w:r>
          </w:p>
          <w:p w14:paraId="6C956353" w14:textId="77777777" w:rsidR="00CB72ED" w:rsidRPr="00B96B4F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Seminarski rad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DA7BF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F264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04DE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4CA7A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DC53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D8EC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6FB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39189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D3C03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823B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AF1BF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7706B03" w14:textId="77777777" w:rsidR="00D33AAD" w:rsidRPr="00D33AAD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Student obavezno u toku trajanja predavanja pristupa polaganju I i II parcijalnog ispita iz teoretskog dijela.</w:t>
            </w:r>
          </w:p>
          <w:p w14:paraId="4EC620FD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Završni dio ispita se polaže usmeno. Svaki student ima seminarski rad.</w:t>
            </w:r>
          </w:p>
          <w:p w14:paraId="21EC6E04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Studentima koji su položili I i II parcijalni iz teoretskog dijela gradiva sa maksimalnim brojem bodova i izuzetno</w:t>
            </w:r>
          </w:p>
          <w:p w14:paraId="06455CB5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urađenim seminarskim radom, predmetni nastavnik upisuje ocjenu u indeks nakon završetka svih obaveza na</w:t>
            </w:r>
          </w:p>
          <w:p w14:paraId="2E0249A5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predmetu (potpis predmetnog nastavnika u indeksu). Završnom ispitu pristupaju svi studenti koji imaju urađene sve</w:t>
            </w:r>
          </w:p>
          <w:p w14:paraId="28D01A22" w14:textId="77777777"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obaveze na predmetu (imaju potpis predmetnog nastavnika u indeksu).</w:t>
            </w:r>
          </w:p>
          <w:p w14:paraId="67ABD74F" w14:textId="77777777" w:rsidR="00B40346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Rezultati će u roku od 2-8 dana biti javno objavljeni na oglasnoj ploči fakulteta.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14:paraId="5C41E68A" w14:textId="77777777" w:rsidR="00B40346" w:rsidRPr="00B40346" w:rsidRDefault="00FB48B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predispitne obaveze i polaganje završnog ispita,</w:t>
            </w:r>
          </w:p>
          <w:p w14:paraId="673616F2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a prema kvalitetu stečenih znanja i vještina. Sadrži maksimalno 100 bodova, prema slijedećoj skali:</w:t>
            </w:r>
          </w:p>
          <w:p w14:paraId="211B2173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1. Prisutnost na predavanjima i vježbama: 5 bodova</w:t>
            </w:r>
          </w:p>
          <w:p w14:paraId="28DF02F5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2. Seminarski rad: 20 bodova</w:t>
            </w:r>
          </w:p>
          <w:p w14:paraId="0E81441A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3. I parcijalni test: 25 bodova (minimalan broj bodova za prolaz 13)</w:t>
            </w:r>
          </w:p>
          <w:p w14:paraId="101E5DC8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4. II parcijalni test: 25 bodova (minimalan broj bodova za prolaz 13)</w:t>
            </w:r>
          </w:p>
          <w:p w14:paraId="52874000" w14:textId="78008E4E" w:rsidR="00CB72ED" w:rsidRPr="00B96B4F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5. Završni ispit: 25 bodova    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7D8EE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CF9B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08026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567A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A576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C216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E342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41B53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1DF8EF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7CF7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67CF2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A07ACF7" w14:textId="77777777" w:rsidR="00B40346" w:rsidRPr="00B40346" w:rsidRDefault="00D05D23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B40346"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63834004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3D3BD3D0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3B399DCB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2C67364F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0E9B4C12" w14:textId="77777777" w:rsidR="00B40346" w:rsidRPr="00B40346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0ACAC803" w14:textId="76C1FA12" w:rsidR="00CB72ED" w:rsidRPr="00B96B4F" w:rsidRDefault="00B40346" w:rsidP="00B4034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B4034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3045A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8361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03918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7B0E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D705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3E8C4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C705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FD6F5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EE340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84DAD4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B3DFA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3A5EBD9" w14:textId="77777777" w:rsidR="00ED12A9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12A9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12A9" w:rsidRPr="00ED12A9">
              <w:rPr>
                <w:rFonts w:asciiTheme="majorHAnsi" w:hAnsiTheme="majorHAnsi" w:cs="Arial"/>
                <w:b/>
                <w:sz w:val="18"/>
                <w:szCs w:val="18"/>
              </w:rPr>
              <w:t>S. Zrnčević, KATALIZA I KATALIZATORI, HINUS, 2005.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14:paraId="7F55ABFC" w14:textId="77777777" w:rsidR="00CB72ED" w:rsidRPr="00B96B4F" w:rsidRDefault="00ED12A9" w:rsidP="00ED12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A. Bratovčić, Fotohemija i fotokataliza,  Tuzla, 2020.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20B11C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98D6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81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6AA4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41CF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5CAD8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D9F7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AFA6D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B6D97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C17B9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49790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9FCB5C" w14:textId="77777777" w:rsidR="00CB72ED" w:rsidRPr="00B96B4F" w:rsidRDefault="00D05D23" w:rsidP="009172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17210" w:rsidRPr="00917210">
              <w:rPr>
                <w:rFonts w:asciiTheme="majorHAnsi" w:hAnsiTheme="majorHAnsi" w:cs="Arial"/>
                <w:b/>
                <w:sz w:val="18"/>
                <w:szCs w:val="18"/>
              </w:rPr>
              <w:t xml:space="preserve">Rothenberg, G. (2008). Catalysis: Concepts and green applications. Wiley-VCH Verlag GmbH &amp; Co. KGaA.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31C85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B54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098E9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53E7C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3310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70734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88EE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7DC5C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DF7B6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8E41C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32B7F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A1971E1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98512E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C8D9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564B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A4FD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8B24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AF49B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1108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FE4AA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1322E6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4D2A4DF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88883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8820863" w14:textId="7A94FE4C" w:rsidR="00CB72ED" w:rsidRPr="00B96B4F" w:rsidRDefault="00D05D23" w:rsidP="009172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1721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917210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B4034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A5D985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3DEA6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FA2C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33FB8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E89F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1DD7CA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A799D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3D12F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396861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00A2810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702A23E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30D0EE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B64AD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FB64A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FB64A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34AF5A3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B16FFE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C6564B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8D69CA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C454F9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7A0C582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69DF43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624E791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F61B" w14:textId="77777777" w:rsidR="00A853B8" w:rsidRDefault="00A853B8">
      <w:pPr>
        <w:spacing w:line="240" w:lineRule="auto"/>
      </w:pPr>
      <w:r>
        <w:separator/>
      </w:r>
    </w:p>
  </w:endnote>
  <w:endnote w:type="continuationSeparator" w:id="0">
    <w:p w14:paraId="1EA66117" w14:textId="77777777" w:rsidR="00A853B8" w:rsidRDefault="00A853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B7B72C3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E7A3AA2" w14:textId="1488B82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C2C75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22845B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E07A12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25BD171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22B148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9C097E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C91411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521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521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59EE8764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18AEB" w14:textId="77777777" w:rsidR="00A853B8" w:rsidRDefault="00A853B8">
      <w:pPr>
        <w:spacing w:after="0"/>
      </w:pPr>
      <w:r>
        <w:separator/>
      </w:r>
    </w:p>
  </w:footnote>
  <w:footnote w:type="continuationSeparator" w:id="0">
    <w:p w14:paraId="2C7E7CA6" w14:textId="77777777" w:rsidR="00A853B8" w:rsidRDefault="00A853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204C" w14:textId="77777777" w:rsidR="00CB72ED" w:rsidRDefault="00CB72ED">
    <w:pPr>
      <w:pStyle w:val="Header"/>
    </w:pPr>
  </w:p>
  <w:p w14:paraId="2D3EFA9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453C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0B21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07B7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5217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47CE"/>
    <w:rsid w:val="005173B1"/>
    <w:rsid w:val="00522737"/>
    <w:rsid w:val="00526ED4"/>
    <w:rsid w:val="005276C6"/>
    <w:rsid w:val="00532436"/>
    <w:rsid w:val="00541C17"/>
    <w:rsid w:val="005443B1"/>
    <w:rsid w:val="00546F6E"/>
    <w:rsid w:val="0055248F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678D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12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7210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A0A"/>
    <w:rsid w:val="00A80B4C"/>
    <w:rsid w:val="00A84FB8"/>
    <w:rsid w:val="00A853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0346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5534"/>
    <w:rsid w:val="00BE0ADF"/>
    <w:rsid w:val="00BE420E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C7E30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3AAD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002D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3AD9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12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C75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A6884"/>
  <w15:docId w15:val="{00327ACA-0917-4FB1-B03F-832AF0DB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5515-49D9-4519-8FB1-7D93D986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AMG_Computers</cp:lastModifiedBy>
  <cp:revision>5</cp:revision>
  <cp:lastPrinted>2024-03-19T08:24:00Z</cp:lastPrinted>
  <dcterms:created xsi:type="dcterms:W3CDTF">2026-04-28T12:29:00Z</dcterms:created>
  <dcterms:modified xsi:type="dcterms:W3CDTF">2026-04-29T10:13:00Z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